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E06CDB">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A1149A" w:rsidRDefault="00322106" w:rsidP="002B6DB2">
            <w:pPr>
              <w:spacing w:after="0" w:line="240" w:lineRule="auto"/>
              <w:jc w:val="center"/>
              <w:rPr>
                <w:rFonts w:ascii="Kruti Dev 010" w:hAnsi="Kruti Dev 010"/>
                <w:b/>
                <w:dstrike/>
                <w:sz w:val="28"/>
                <w:szCs w:val="28"/>
                <w:u w:val="double"/>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A47D3B">
        <w:trPr>
          <w:trHeight w:val="525"/>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A1149A" w:rsidP="00F3702F">
            <w:pPr>
              <w:spacing w:after="0" w:line="240" w:lineRule="auto"/>
              <w:jc w:val="both"/>
              <w:rPr>
                <w:rFonts w:asciiTheme="majorHAnsi" w:hAnsiTheme="majorHAnsi"/>
                <w:b/>
                <w:bCs/>
              </w:rPr>
            </w:pPr>
            <w:r w:rsidRPr="00A1149A">
              <w:rPr>
                <w:rFonts w:cs="Arial"/>
                <w:b/>
                <w:bCs/>
                <w:sz w:val="20"/>
                <w:szCs w:val="20"/>
              </w:rPr>
              <w:t xml:space="preserve">Roof </w:t>
            </w:r>
            <w:proofErr w:type="spellStart"/>
            <w:r w:rsidRPr="00A1149A">
              <w:rPr>
                <w:rFonts w:cs="Arial"/>
                <w:b/>
                <w:bCs/>
                <w:sz w:val="20"/>
                <w:szCs w:val="20"/>
              </w:rPr>
              <w:t>Treatment</w:t>
            </w:r>
            <w:proofErr w:type="gramStart"/>
            <w:r w:rsidRPr="00A1149A">
              <w:rPr>
                <w:rFonts w:cs="Arial"/>
                <w:b/>
                <w:bCs/>
                <w:sz w:val="20"/>
                <w:szCs w:val="20"/>
              </w:rPr>
              <w:t>,Toilet</w:t>
            </w:r>
            <w:proofErr w:type="spellEnd"/>
            <w:proofErr w:type="gramEnd"/>
            <w:r w:rsidRPr="00A1149A">
              <w:rPr>
                <w:rFonts w:cs="Arial"/>
                <w:b/>
                <w:bCs/>
                <w:sz w:val="20"/>
                <w:szCs w:val="20"/>
              </w:rPr>
              <w:t xml:space="preserve"> Maintenance &amp; Renovation and other Civil  works  at 33/11 KV Substation </w:t>
            </w:r>
            <w:proofErr w:type="spellStart"/>
            <w:r w:rsidRPr="00A1149A">
              <w:rPr>
                <w:rFonts w:cs="Arial"/>
                <w:b/>
                <w:bCs/>
                <w:sz w:val="20"/>
                <w:szCs w:val="20"/>
              </w:rPr>
              <w:t>Kavinagar</w:t>
            </w:r>
            <w:proofErr w:type="spellEnd"/>
            <w:r w:rsidRPr="00A1149A">
              <w:rPr>
                <w:rFonts w:cs="Arial"/>
                <w:b/>
                <w:bCs/>
                <w:sz w:val="20"/>
                <w:szCs w:val="20"/>
              </w:rPr>
              <w:t>-II, Ghaziabad.</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A1149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A1149A" w:rsidP="00236928">
            <w:pPr>
              <w:jc w:val="center"/>
              <w:rPr>
                <w:b/>
                <w:bCs/>
                <w:color w:val="FF0000"/>
                <w:sz w:val="28"/>
                <w:szCs w:val="28"/>
              </w:rPr>
            </w:pPr>
            <w:r>
              <w:rPr>
                <w:b/>
                <w:bCs/>
                <w:color w:val="FF0000"/>
                <w:sz w:val="24"/>
                <w:szCs w:val="28"/>
              </w:rPr>
              <w:t>4</w:t>
            </w:r>
            <w:r w:rsidR="00BC666F" w:rsidRPr="00BC666F">
              <w:rPr>
                <w:b/>
                <w:bCs/>
                <w:color w:val="FF0000"/>
                <w:sz w:val="24"/>
                <w:szCs w:val="28"/>
              </w:rPr>
              <w:t>,</w:t>
            </w:r>
            <w:r>
              <w:rPr>
                <w:b/>
                <w:bCs/>
                <w:color w:val="FF0000"/>
                <w:sz w:val="24"/>
                <w:szCs w:val="28"/>
              </w:rPr>
              <w:t>90</w:t>
            </w:r>
            <w:r w:rsidR="00BC666F" w:rsidRPr="00BC666F">
              <w:rPr>
                <w:b/>
                <w:bCs/>
                <w:color w:val="FF0000"/>
                <w:sz w:val="24"/>
                <w:szCs w:val="28"/>
              </w:rPr>
              <w:t>,</w:t>
            </w:r>
            <w:r w:rsidR="00DB6E5E">
              <w:rPr>
                <w:b/>
                <w:bCs/>
                <w:color w:val="FF0000"/>
                <w:sz w:val="24"/>
                <w:szCs w:val="28"/>
              </w:rPr>
              <w:t>9</w:t>
            </w:r>
            <w:r w:rsidR="00236928">
              <w:rPr>
                <w:b/>
                <w:bCs/>
                <w:color w:val="FF0000"/>
                <w:sz w:val="24"/>
                <w:szCs w:val="28"/>
              </w:rPr>
              <w:t>81</w:t>
            </w:r>
            <w:r w:rsidR="00BC666F" w:rsidRPr="00BC666F">
              <w:rPr>
                <w:b/>
                <w:bCs/>
                <w:color w:val="FF0000"/>
                <w:sz w:val="24"/>
                <w:szCs w:val="28"/>
              </w:rPr>
              <w:t>.</w:t>
            </w:r>
            <w:r>
              <w:rPr>
                <w:b/>
                <w:bCs/>
                <w:color w:val="FF0000"/>
                <w:sz w:val="24"/>
                <w:szCs w:val="28"/>
              </w:rPr>
              <w:t>80</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A1149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A1149A">
              <w:rPr>
                <w:rFonts w:ascii="Times New Roman" w:eastAsia="Times New Roman" w:hAnsi="Times New Roman" w:cs="Times New Roman"/>
                <w:color w:val="000000"/>
              </w:rPr>
              <w:t>79</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236928">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A1149A">
              <w:t>Four</w:t>
            </w:r>
            <w:r w:rsidR="004D0F6C">
              <w:t xml:space="preserve"> </w:t>
            </w:r>
            <w:proofErr w:type="spellStart"/>
            <w:r w:rsidR="00BC666F">
              <w:t>Lacs</w:t>
            </w:r>
            <w:proofErr w:type="spellEnd"/>
            <w:r w:rsidR="00BC666F">
              <w:t xml:space="preserve"> </w:t>
            </w:r>
            <w:r w:rsidR="00A1149A">
              <w:t xml:space="preserve">Ninety </w:t>
            </w:r>
            <w:r w:rsidR="00BC666F">
              <w:t xml:space="preserve">Thousand </w:t>
            </w:r>
            <w:r w:rsidR="00DB6E5E">
              <w:t>Nine</w:t>
            </w:r>
            <w:r w:rsidR="007D6C85">
              <w:t xml:space="preserve"> </w:t>
            </w:r>
            <w:r w:rsidR="00BC666F">
              <w:t xml:space="preserve">Hundred </w:t>
            </w:r>
            <w:r w:rsidR="00236928">
              <w:t>Eighty One</w:t>
            </w:r>
            <w:r w:rsidR="00BC666F">
              <w:t xml:space="preserve"> and </w:t>
            </w:r>
            <w:r w:rsidR="004D0F6C">
              <w:t>Paisa</w:t>
            </w:r>
            <w:r w:rsidR="00BC666F">
              <w:t xml:space="preserve"> </w:t>
            </w:r>
            <w:r w:rsidR="00A1149A">
              <w:t>Eighty</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5335DA">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335DA">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A1149A" w:rsidRDefault="00A1149A"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36928"/>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35DA"/>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4E5A"/>
    <w:rsid w:val="006D66BE"/>
    <w:rsid w:val="006E17FB"/>
    <w:rsid w:val="006F02AA"/>
    <w:rsid w:val="00715F6A"/>
    <w:rsid w:val="00716749"/>
    <w:rsid w:val="0072178D"/>
    <w:rsid w:val="00723FB7"/>
    <w:rsid w:val="007253DE"/>
    <w:rsid w:val="00726EE1"/>
    <w:rsid w:val="00731696"/>
    <w:rsid w:val="00731737"/>
    <w:rsid w:val="00731C88"/>
    <w:rsid w:val="0073334D"/>
    <w:rsid w:val="0074223A"/>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97B24"/>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06203"/>
    <w:rsid w:val="00A1149A"/>
    <w:rsid w:val="00A24077"/>
    <w:rsid w:val="00A244AD"/>
    <w:rsid w:val="00A461F0"/>
    <w:rsid w:val="00A46795"/>
    <w:rsid w:val="00A47D3B"/>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F86"/>
    <w:rsid w:val="00B71BF3"/>
    <w:rsid w:val="00B77DE2"/>
    <w:rsid w:val="00B952C9"/>
    <w:rsid w:val="00BA5944"/>
    <w:rsid w:val="00BC666F"/>
    <w:rsid w:val="00BC7F6E"/>
    <w:rsid w:val="00BD2905"/>
    <w:rsid w:val="00BE2490"/>
    <w:rsid w:val="00BE50E8"/>
    <w:rsid w:val="00BF4D3E"/>
    <w:rsid w:val="00BF6327"/>
    <w:rsid w:val="00BF7237"/>
    <w:rsid w:val="00C12D92"/>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23D2"/>
    <w:rsid w:val="00CA7A0A"/>
    <w:rsid w:val="00CB5D35"/>
    <w:rsid w:val="00CC214E"/>
    <w:rsid w:val="00CC30B3"/>
    <w:rsid w:val="00CC3326"/>
    <w:rsid w:val="00CC57C5"/>
    <w:rsid w:val="00CE268B"/>
    <w:rsid w:val="00CE32FC"/>
    <w:rsid w:val="00D15466"/>
    <w:rsid w:val="00D2161B"/>
    <w:rsid w:val="00D220E3"/>
    <w:rsid w:val="00D24248"/>
    <w:rsid w:val="00D2446B"/>
    <w:rsid w:val="00D27EBF"/>
    <w:rsid w:val="00D40EE5"/>
    <w:rsid w:val="00D4113B"/>
    <w:rsid w:val="00D44EFF"/>
    <w:rsid w:val="00D50A73"/>
    <w:rsid w:val="00D5429D"/>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06CDB"/>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4294967279</TotalTime>
  <Pages>1</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40</cp:revision>
  <cp:lastPrinted>2022-11-02T09:57:00Z</cp:lastPrinted>
  <dcterms:created xsi:type="dcterms:W3CDTF">2021-12-30T08:19:00Z</dcterms:created>
  <dcterms:modified xsi:type="dcterms:W3CDTF">2022-11-02T09:57:00Z</dcterms:modified>
</cp:coreProperties>
</file>